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VAR2-LTE-I4-1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10x10, 35x10, 60x25, 13W, IP66, 12/24V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Infrarotscheinwerfer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Leuchtweite bis 144 m</w:t>
      </w:r>
    </w:p>
    <w:p>
      <w:pPr>
        <w:pStyle w:val="p2Style"/>
      </w:pPr>
      <w:r>
        <w:rPr>
          <w:rStyle w:val="textStyle"/>
        </w:rPr>
        <w:t xml:space="preserve">Spektrale Emission 850 nm</w:t>
      </w:r>
    </w:p>
    <w:p>
      <w:pPr>
        <w:pStyle w:val="p2Style"/>
      </w:pPr>
      <w:r>
        <w:rPr>
          <w:rStyle w:val="textStyle"/>
        </w:rPr>
        <w:t xml:space="preserve">Platinum Elite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LED Status-Indikator</w:t>
      </w:r>
    </w:p>
    <w:p>
      <w:pPr>
        <w:pStyle w:val="p2Style"/>
      </w:pPr>
      <w:r>
        <w:rPr>
          <w:rStyle w:val="textStyle"/>
        </w:rPr>
        <w:t xml:space="preserve">Vandalismusgeschützt, Schutzklasse IP66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12~24V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VAR2-LTE-I4-1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 LITE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2026-09-23T00:21:47+00:00</dcterms:created>
  <dcterms:modified xsi:type="dcterms:W3CDTF">2026-09-23T00:21:47+00:00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