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TP3817-E CASING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schwarz, für AXIS P3818-PVE, überlackierbar, inkl. Wetterschutz, Schrauben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IK10 und IP66/67-zertifiziert</w:t>
      </w:r>
    </w:p>
    <w:p>
      <w:pPr>
        <w:pStyle w:val="p2Style"/>
      </w:pPr>
      <w:r>
        <w:rPr>
          <w:rStyle w:val="textStyle"/>
        </w:rPr>
        <w:t xml:space="preserve">Kompatibel mit AXIS P3818-PVE.</w:t>
      </w:r>
    </w:p>
    <w:p>
      <w:pPr>
        <w:pStyle w:val="p2Style"/>
      </w:pPr>
      <w:r>
        <w:rPr>
          <w:rStyle w:val="textStyle"/>
        </w:rPr>
        <w:t xml:space="preserve">Wetterschutz, Deckel, Oberteil</w:t>
      </w:r>
    </w:p>
    <w:p>
      <w:pPr>
        <w:pStyle w:val="p2Style"/>
      </w:pPr>
      <w:r>
        <w:rPr>
          <w:rStyle w:val="textStyle"/>
        </w:rPr>
        <w:t xml:space="preserve">Inkl. Schrauben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7331021076303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02357-001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2026-09-16T08:04:27+00:00</dcterms:created>
  <dcterms:modified xsi:type="dcterms:W3CDTF">2026-09-16T08:04:27+00:00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