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TP3817-E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P3818-PVE, überlackierbar, inkl. Wetterschutz,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IK10 und IP66/67-zertifiziert</w:t>
      </w:r>
    </w:p>
    <w:p>
      <w:pPr>
        <w:pStyle w:val="p2Style"/>
      </w:pPr>
      <w:r>
        <w:rPr>
          <w:rStyle w:val="textStyle"/>
        </w:rPr>
        <w:t xml:space="preserve">Kompatibel mit AXIS P3818-PVE.</w:t>
      </w:r>
    </w:p>
    <w:p>
      <w:pPr>
        <w:pStyle w:val="p2Style"/>
      </w:pPr>
      <w:r>
        <w:rPr>
          <w:rStyle w:val="textStyle"/>
        </w:rPr>
        <w:t xml:space="preserve">Wetterschutz, Deckel, Oberteil</w:t>
      </w:r>
    </w:p>
    <w:p>
      <w:pPr>
        <w:pStyle w:val="p2Style"/>
      </w:pPr>
      <w:r>
        <w:rPr>
          <w:rStyle w:val="textStyle"/>
        </w:rPr>
        <w:t xml:space="preserve">Inkl.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2026-10-31T14:13:41+00:00</dcterms:created>
  <dcterms:modified xsi:type="dcterms:W3CDTF">2026-10-31T14:13:41+00:00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