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TP3817-E CASING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P3818-PVE, überlackierbar, inkl. Wetterschutz,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IK10 und IP66/67-zertifiziert</w:t>
      </w:r>
    </w:p>
    <w:p>
      <w:pPr>
        <w:pStyle w:val="p2Style"/>
      </w:pPr>
      <w:r>
        <w:rPr>
          <w:rStyle w:val="textStyle"/>
        </w:rPr>
        <w:t xml:space="preserve">Kompatibel mit AXIS P3818-PVE.</w:t>
      </w:r>
    </w:p>
    <w:p>
      <w:pPr>
        <w:pStyle w:val="p2Style"/>
      </w:pPr>
      <w:r>
        <w:rPr>
          <w:rStyle w:val="textStyle"/>
        </w:rPr>
        <w:t xml:space="preserve">Wetterschutz, Deckel, Oberteil</w:t>
      </w:r>
    </w:p>
    <w:p>
      <w:pPr>
        <w:pStyle w:val="p2Style"/>
      </w:pPr>
      <w:r>
        <w:rPr>
          <w:rStyle w:val="textStyle"/>
        </w:rPr>
        <w:t xml:space="preserve">Inkl.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2026-06-18T05:23:02+00:00</dcterms:created>
  <dcterms:modified xsi:type="dcterms:W3CDTF">2026-06-18T05:23:02+00:00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