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DS-2TD2138-10/QY(O-STD)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 × 288, 12 μm, VOx UFPA, NETD &lt; 35 mK (25°C, F1.0)</w:t>
      </w:r>
    </w:p>
    <w:p>
      <w:pPr>
        <w:pStyle w:val="p2Style"/>
      </w:pPr>
      <w:r>
        <w:rPr>
          <w:rStyle w:val="textStyle"/>
        </w:rPr>
        <w:t xml:space="preserve">Temperaturausnahmealarm zur Brandfrüherkennung, -20 °C bis 150 °C, ± 8 °C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textStyle"/>
        </w:rPr>
        <w:t xml:space="preserve">Hochwertiger Melder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