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D4100-E NETWORK STROBE SIREN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Blitzsirene, 110dB, RGB-LEDs mit Lichmustern, SIP,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Abschreckung, Sicherheit, Betriebseffizienz</w:t>
      </w:r>
    </w:p>
    <w:p>
      <w:pPr>
        <w:pStyle w:val="p2Style"/>
      </w:pPr>
      <w:r>
        <w:rPr>
          <w:rStyle w:val="textStyle"/>
        </w:rPr>
        <w:t xml:space="preserve">Blitzsirene für zahlreiche Anwendungen</w:t>
      </w:r>
    </w:p>
    <w:p>
      <w:pPr>
        <w:pStyle w:val="p2Style"/>
      </w:pPr>
      <w:r>
        <w:rPr>
          <w:rStyle w:val="textStyle"/>
        </w:rPr>
        <w:t xml:space="preserve">Licht und Ton in einem IP-basierten Gerät</w:t>
      </w:r>
    </w:p>
    <w:p>
      <w:pPr>
        <w:pStyle w:val="p2Style"/>
      </w:pPr>
      <w:r>
        <w:rPr>
          <w:rStyle w:val="textStyle"/>
        </w:rPr>
        <w:t xml:space="preserve">Profile mit unterschiedlichen Prioritätsstufen</w:t>
      </w:r>
    </w:p>
    <w:p>
      <w:pPr>
        <w:pStyle w:val="p2Style"/>
      </w:pPr>
      <w:r>
        <w:rPr>
          <w:rStyle w:val="textStyle"/>
        </w:rPr>
        <w:t xml:space="preserve">VAPIX-, MQTT- und SIP-Integration</w:t>
      </w:r>
    </w:p>
    <w:p>
      <w:pPr>
        <w:pStyle w:val="p2Style"/>
      </w:pPr>
      <w:r>
        <w:rPr>
          <w:rStyle w:val="textStyle"/>
        </w:rPr>
        <w:t xml:space="preserve">Gehäuse zertifiziert nach IP66, IK10 und NEMA-4X</w:t>
      </w:r>
    </w:p>
    <w:p>
      <w:pPr>
        <w:pStyle w:val="p2Style"/>
      </w:pPr>
      <w:r>
        <w:rPr>
          <w:rStyle w:val="textStyle"/>
        </w:rPr>
        <w:t xml:space="preserve">5-jährige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7331021069459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01942-001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2026-10-19T12:36:56+00:00</dcterms:created>
  <dcterms:modified xsi:type="dcterms:W3CDTF">2026-10-19T12:36:56+00:00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