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NDE-8512-R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3-9mm, Analyse, PoE, IK10,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HD-Auflösung bis 2 Megapixel, 60fps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X Technologie für extrem hohe Lichtempfindlichkeit</w:t>
      </w:r>
    </w:p>
    <w:p>
      <w:pPr>
        <w:pStyle w:val="p2Style"/>
      </w:pPr>
      <w:r>
        <w:rPr>
          <w:rStyle w:val="textStyle"/>
        </w:rPr>
        <w:t xml:space="preserve">Wide Dynamic Range (HDR X 144dB)</w:t>
      </w:r>
    </w:p>
    <w:p>
      <w:pPr>
        <w:pStyle w:val="p2Style"/>
      </w:pPr>
      <w:r>
        <w:rPr>
          <w:rStyle w:val="textStyle"/>
        </w:rPr>
        <w:t xml:space="preserve">Motorisiertes Varifokal-Objektiv mit 3-9mm Brennweite</w:t>
      </w:r>
    </w:p>
    <w:p>
      <w:pPr>
        <w:pStyle w:val="p2Style"/>
      </w:pPr>
      <w:r>
        <w:rPr>
          <w:rStyle w:val="textStyle"/>
        </w:rPr>
        <w:t xml:space="preserve">2 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802.3af, 23-26VDC,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2026-07-21T11:42:14+00:00</dcterms:created>
  <dcterms:modified xsi:type="dcterms:W3CDTF">2026-07-21T11:42:14+00:00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