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NDE-8512-R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3-9mm, Analyse, PoE, IK10,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HD-Auflösung bis 2 Megapixel, 60fps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X Technologie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X 144dB)</w:t>
      </w:r>
    </w:p>
    <w:p>
      <w:pPr>
        <w:pStyle w:val="p2Style"/>
      </w:pPr>
      <w:r>
        <w:rPr>
          <w:rStyle w:val="textStyle"/>
        </w:rPr>
        <w:t xml:space="preserve">Motorisiertes Varifokal-Objektiv mit 3-9mm Brennweite</w:t>
      </w:r>
    </w:p>
    <w:p>
      <w:pPr>
        <w:pStyle w:val="p2Style"/>
      </w:pPr>
      <w:r>
        <w:rPr>
          <w:rStyle w:val="textStyle"/>
        </w:rPr>
        <w:t xml:space="preserve">2 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802.3af, 23-26VDC,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2026-10-19T10:00:16+00:00</dcterms:created>
  <dcterms:modified xsi:type="dcterms:W3CDTF">2026-10-19T10:00:16+00:00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