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Analyse, PoE, IK10,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Motorisiertes Varifokal-Objektiv mit 3-9mm Brennweite</w:t>
      </w:r>
    </w:p>
    <w:p>
      <w:pPr>
        <w:pStyle w:val="p2Style"/>
      </w:pPr>
      <w:r>
        <w:rPr>
          <w:rStyle w:val="textStyle"/>
        </w:rPr>
        <w:t xml:space="preserve">2 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802.3af, 23-26VDC,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