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NDE-8513-R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3264x1840@30fps, 3,9-10mm, IVA,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6 Megapixel-Auflösung bis 3264x1840 Pixel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Regions of Interest und PTRZ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Dual SD-Kartenslot SD, SDHC und SDXC</w:t>
      </w:r>
    </w:p>
    <w:p>
      <w:pPr>
        <w:pStyle w:val="p2Style"/>
      </w:pPr>
      <w:r>
        <w:rPr>
          <w:rStyle w:val="textStyle"/>
        </w:rPr>
        <w:t xml:space="preserve">Stromversorgung: 12VDC/24VAC, PoE</w:t>
      </w:r>
    </w:p>
    <w:p>
      <w:pPr>
        <w:pStyle w:val="p2Style"/>
      </w:pPr>
      <w:r>
        <w:rPr>
          <w:rStyle w:val="textStyle"/>
        </w:rPr>
        <w:t xml:space="preserve">Vandalismusgeschützt IK10+,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3264x1840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2026-09-23T17:02:06+00:00</dcterms:created>
  <dcterms:modified xsi:type="dcterms:W3CDTF">2026-09-23T17:02:06+00:00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