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 mit fester Brennweite von 3,6 mm bzw. 6 mm</w:t>
      </w:r>
    </w:p>
    <w:p>
      <w:pPr>
        <w:pStyle w:val="p2Style"/>
      </w:pPr>
      <w:r>
        <w:rPr>
          <w:rStyle w:val="textStyle"/>
        </w:rPr>
        <w:t xml:space="preserve">IR-Reichweite von bis zu 80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2026-10-04T17:01:49+00:00</dcterms:created>
  <dcterms:modified xsi:type="dcterms:W3CDTF">2026-10-04T17:01:49+00:00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