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2 MP und einer Auflösung von 1920 × 1080</w:t>
      </w:r>
    </w:p>
    <w:p>
      <w:pPr>
        <w:pStyle w:val="p2Style"/>
      </w:pPr>
      <w:r>
        <w:rPr>
          <w:rStyle w:val="textStyle"/>
        </w:rPr>
        <w:t xml:space="preserve">Objektive mit fester Brennweite: 2,8 mm, 3,6 mm,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Hochwertige Audioqualität über Koaxialkabel,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2026-10-04T13:53:35+00:00</dcterms:created>
  <dcterms:modified xsi:type="dcterms:W3CDTF">2026-10-04T13:53:35+00:00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