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DS-2CE16H0T-ITE(2.8mm)(O-STD)(C)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5 MP, 2560 × 1944 Auflösung</w:t>
      </w:r>
    </w:p>
    <w:p>
      <w:pPr>
        <w:pStyle w:val="p2Style"/>
      </w:pPr>
      <w:r>
        <w:rPr>
          <w:rStyle w:val="textStyle"/>
        </w:rPr>
        <w:t xml:space="preserve">2,8 mm und 3,6 mm Festbrennweite</w:t>
      </w:r>
    </w:p>
    <w:p>
      <w:pPr>
        <w:pStyle w:val="p2Style"/>
      </w:pPr>
      <w:r>
        <w:rPr>
          <w:rStyle w:val="textStyle"/>
        </w:rPr>
        <w:t xml:space="preserve">Bis zu 30 m IR-Reichweite für helle Nachtsicht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2026-08-20T06:10:30+00:00</dcterms:created>
  <dcterms:modified xsi:type="dcterms:W3CDTF">2026-08-20T06:10:30+00:00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