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4-10MM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F0,9, IR-korrigiert,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Extrem lichtstark</w:t>
      </w:r>
    </w:p>
    <w:p>
      <w:pPr>
        <w:pStyle w:val="p2Style"/>
      </w:pPr>
      <w:r>
        <w:rPr>
          <w:rStyle w:val="textStyle"/>
        </w:rPr>
        <w:t xml:space="preserve">Kompatibel mit AXIS P1375, AXIS P1375-E, AXIS P1377, AXIS P1377-LE, AXIS P1378, AXIS P1378-LE, AXIS Q1615 Mk III, AXIS Q1615-LE Mk III, AXIS Q1656,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2026-07-29T06:58:32+00:00</dcterms:created>
  <dcterms:modified xsi:type="dcterms:W3CDTF">2026-07-29T06:58:32+00:00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