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4-10MM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F0,9, IR-korrigiert,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Extrem lichtstark</w:t>
      </w:r>
    </w:p>
    <w:p>
      <w:pPr>
        <w:pStyle w:val="p2Style"/>
      </w:pPr>
      <w:r>
        <w:rPr>
          <w:rStyle w:val="textStyle"/>
        </w:rPr>
        <w:t xml:space="preserve">Kompatibel mit AXIS P1375, AXIS P1375-E, AXIS P1377, AXIS P1377-LE, AXIS P1378, AXIS P1378-LE, AXIS Q1615 Mk III, AXIS Q1615-LE Mk III, AXIS Q1656,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