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90 W MIDSPAN AC/DC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 802.3bt, 24VDC, 24VAC,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24 V AC oder 20 bis 26,4 V DC</w:t>
      </w:r>
    </w:p>
    <w:p>
      <w:pPr>
        <w:pStyle w:val="p2Style"/>
      </w:pPr>
      <w:r>
        <w:rPr>
          <w:rStyle w:val="textStyle"/>
        </w:rPr>
        <w:t xml:space="preserve">Ausgang: Bis zu IEEE 802.3bt (90W)</w:t>
      </w:r>
    </w:p>
    <w:p>
      <w:pPr>
        <w:pStyle w:val="p2Style"/>
      </w:pPr>
      <w:r>
        <w:rPr>
          <w:rStyle w:val="textStyle"/>
        </w:rPr>
        <w:t xml:space="preserve">Bei 15W: Power over Ethernet IEEE 802.3af</w:t>
      </w:r>
    </w:p>
    <w:p>
      <w:pPr>
        <w:pStyle w:val="p2Style"/>
      </w:pPr>
      <w:r>
        <w:rPr>
          <w:rStyle w:val="textStyle"/>
        </w:rPr>
        <w:t xml:space="preserve">Bei 30W: Power over Ethernet IEEE 802.3at</w:t>
      </w:r>
    </w:p>
    <w:p>
      <w:pPr>
        <w:pStyle w:val="p2Style"/>
      </w:pPr>
      <w:r>
        <w:rPr>
          <w:rStyle w:val="textStyle"/>
        </w:rPr>
        <w:t xml:space="preserve">Bei 60W: HiPoE-Dual-Signatur (60W-PoE von Axis)</w:t>
      </w:r>
    </w:p>
    <w:p>
      <w:pPr>
        <w:pStyle w:val="p2Style"/>
      </w:pPr>
      <w:r>
        <w:rPr>
          <w:rStyle w:val="textStyle"/>
        </w:rPr>
        <w:t xml:space="preserve">Bei 90W: Power over Ethernet IEEE 802.3bt</w:t>
      </w:r>
    </w:p>
    <w:p>
      <w:pPr>
        <w:pStyle w:val="p2Style"/>
      </w:pPr>
      <w:r>
        <w:rPr>
          <w:rStyle w:val="textStyle"/>
        </w:rPr>
        <w:t xml:space="preserve">Ideal für die Nachrüstung von PTZ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2026-08-07T12:31:47+00:00</dcterms:created>
  <dcterms:modified xsi:type="dcterms:W3CDTF">2026-08-07T12:31:47+00:00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