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IPCOAX16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Ethernet über Koax Überspannungsschutz, 16-Kanal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Überspannungsschutz</w:t>
      </w:r>
    </w:p>
    <w:p>
      <w:pPr>
        <w:pStyle w:val="p2Style"/>
      </w:pPr>
      <w:r>
        <w:rPr>
          <w:rStyle w:val="textStyle"/>
        </w:rPr>
        <w:t xml:space="preserve">Unterstützt PoE+ Spannung und Netzwerk über Koax</w:t>
      </w:r>
    </w:p>
    <w:p>
      <w:pPr>
        <w:pStyle w:val="p2Style"/>
      </w:pPr>
      <w:r>
        <w:rPr>
          <w:rStyle w:val="textStyle"/>
        </w:rPr>
        <w:t xml:space="preserve">Halbleitergestützte Spannungsklemmung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Für Standard 19" Einschübe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IPCOAX16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2026-07-09T13:36:57+00:00</dcterms:created>
  <dcterms:modified xsi:type="dcterms:W3CDTF">2026-07-09T13:36:57+00:00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