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204893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IPCOAX1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Ethernet über Koax Überspannungsschutz, 1-Kanal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Zusammengefasster, hoch dimensionierter Massepunkt</w:t>
      </w:r>
    </w:p>
    <w:p>
      <w:pPr>
        <w:pStyle w:val="p2Style"/>
      </w:pPr>
      <w:r>
        <w:rPr>
          <w:rStyle w:val="textStyle"/>
        </w:rPr>
        <w:t xml:space="preserve">Klemmzeit: 1 psek.</w:t>
      </w:r>
    </w:p>
    <w:p>
      <w:pPr>
        <w:pStyle w:val="p2Style"/>
      </w:pPr>
      <w:r>
        <w:rPr>
          <w:rStyle w:val="textStyle"/>
        </w:rPr>
        <w:t xml:space="preserve">Separater Schutz für 12V oder 24VAC/DC</w:t>
      </w:r>
    </w:p>
    <w:p>
      <w:pPr>
        <w:pStyle w:val="p2Style"/>
      </w:pPr>
      <w:r>
        <w:rPr>
          <w:rStyle w:val="textStyle"/>
        </w:rPr>
        <w:t xml:space="preserve">Durchlässig für PoE+ 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00661955001001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IPCOAX-1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2026-07-21T07:24:08+00:00</dcterms:created>
  <dcterms:modified xsi:type="dcterms:W3CDTF">2026-07-21T07:24:08+00:00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