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Composite, VGA, DVI-D, HDMI, Audio,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2000:1 (min.)</w:t>
      </w:r>
    </w:p>
    <w:p>
      <w:pPr>
        <w:pStyle w:val="p2Style"/>
      </w:pPr>
      <w:r>
        <w:rPr>
          <w:rStyle w:val="textStyle"/>
        </w:rPr>
        <w:t xml:space="preserve">Kurze Reaktionszeit von 8ms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HDMI, DVI-D, RGB (VGA) und FBAS Eingänge</w:t>
      </w:r>
    </w:p>
    <w:p>
      <w:pPr>
        <w:pStyle w:val="p2Style"/>
      </w:pPr>
      <w:r>
        <w:rPr>
          <w:rStyle w:val="textStyle"/>
        </w:rPr>
        <w:t xml:space="preserve">Eingebaute Lautsprecher</w:t>
      </w:r>
    </w:p>
    <w:p>
      <w:pPr>
        <w:pStyle w:val="p2Style"/>
      </w:pPr>
      <w:r>
        <w:rPr>
          <w:rStyle w:val="textStyle"/>
        </w:rPr>
        <w:t xml:space="preserve">IR-Fernbedienung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2026-09-21T12:37:36+00:00</dcterms:created>
  <dcterms:modified xsi:type="dcterms:W3CDTF">2026-09-21T12:37:36+00:00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