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Optimierung des Ladenbetriebs durch Video-Transaktionsanalyse</w:t>
      </w:r>
    </w:p>
    <w:p>
      <w:pPr>
        <w:pStyle w:val="p2Style"/>
      </w:pPr>
      <w:r>
        <w:rPr>
          <w:rStyle w:val="textStyle"/>
        </w:rPr>
        <w:t xml:space="preserve">Erkennt Betrug und Produktschwund</w:t>
      </w:r>
    </w:p>
    <w:p>
      <w:pPr>
        <w:pStyle w:val="p2Style"/>
      </w:pPr>
      <w:r>
        <w:rPr>
          <w:rStyle w:val="textStyle"/>
        </w:rPr>
        <w:t xml:space="preserve">Verknüpfung mit Abrechnungsbelegen</w:t>
      </w:r>
    </w:p>
    <w:p>
      <w:pPr>
        <w:pStyle w:val="p2Style"/>
      </w:pPr>
      <w:r>
        <w:rPr>
          <w:rStyle w:val="textStyle"/>
        </w:rPr>
        <w:t xml:space="preserve">Erkennung verdächtiger Aktivitäten, wie Missbrauch von Geschenkkarten, Rabatten und Rückerstattungen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MSCXPR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Retail, Integration Service, verpflichtend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Retail, Connection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2026-09-27T14:05:16+00:00</dcterms:created>
  <dcterms:modified xsi:type="dcterms:W3CDTF">2026-09-27T14:05:16+00:00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