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M4300-8X8F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8x RJ45 PoE+ 10G, 8x SFP+ 10G,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Erweitertes Layer 2/3/4-Feature-Set</w:t>
      </w:r>
    </w:p>
    <w:p>
      <w:pPr>
        <w:pStyle w:val="p2Style"/>
      </w:pPr>
      <w:r>
        <w:rPr>
          <w:rStyle w:val="textStyle"/>
        </w:rPr>
        <w:t xml:space="preserve">keine Lizenz erforderlich</w:t>
      </w:r>
    </w:p>
    <w:p>
      <w:pPr>
        <w:pStyle w:val="p2Style"/>
      </w:pPr>
      <w:r>
        <w:rPr>
          <w:rStyle w:val="textStyle"/>
        </w:rPr>
        <w:t xml:space="preserve">Inkl. policy-basiertem Routing, RIP, VRRP, OSPF und PIM</w:t>
      </w:r>
    </w:p>
    <w:p>
      <w:pPr>
        <w:pStyle w:val="p2Style"/>
      </w:pPr>
      <w:r>
        <w:rPr>
          <w:rStyle w:val="textStyle"/>
        </w:rPr>
        <w:t xml:space="preserve">Niedriges Betriebsgeräusch</w:t>
      </w:r>
    </w:p>
    <w:p>
      <w:pPr>
        <w:pStyle w:val="p2Style"/>
      </w:pPr>
      <w:r>
        <w:rPr>
          <w:rStyle w:val="textStyle"/>
        </w:rPr>
        <w:t xml:space="preserve">Innovatives gemischtes "Spine-and-Leaf"</w:t>
      </w:r>
    </w:p>
    <w:p>
      <w:pPr>
        <w:pStyle w:val="p2Style"/>
      </w:pPr>
      <w:r>
        <w:rPr>
          <w:rStyle w:val="textStyle"/>
        </w:rPr>
        <w:t xml:space="preserve">1G- und 10G-Stacking mit Nonstop-Forwarding</w:t>
      </w:r>
    </w:p>
    <w:p>
      <w:pPr>
        <w:pStyle w:val="p2Style"/>
      </w:pPr>
      <w:r>
        <w:rPr>
          <w:rStyle w:val="textStyle"/>
        </w:rPr>
        <w:t xml:space="preserve">Hitless-Failover-Redundanz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 2~4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100/1000/10G RJ45, 8x 10Gbit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XSM4316S-100NES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APS150W-100NES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150W,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APS250W-100NES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250W,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10GBASE-SR, LC Stecker, Multimode, 300m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AXM762-10000S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10GBASE-LR, LC Stecker, Singlemode,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AXM763-10000S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10GBASE-LRM, LC Stecker, Multimode, 260m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2026-08-15T21:55:18+00:00</dcterms:created>
  <dcterms:modified xsi:type="dcterms:W3CDTF">2026-08-15T21:55:18+00:00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