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233624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SI.Z4.40-40.MI.AP2.FD.WP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SmartIntego, IP66, Antipanik, freidrehend,40-40mm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Wetterfeste Version IP66</w:t>
      </w:r>
    </w:p>
    <w:p>
      <w:pPr>
        <w:pStyle w:val="p2Style"/>
      </w:pPr>
      <w:r>
        <w:rPr>
          <w:rStyle w:val="textStyle"/>
        </w:rPr>
        <w:t xml:space="preserve">Baulänge 40?40 mm</w:t>
      </w:r>
    </w:p>
    <w:p>
      <w:pPr>
        <w:pStyle w:val="p2Style"/>
      </w:pPr>
      <w:r>
        <w:rPr>
          <w:rStyle w:val="textStyle"/>
        </w:rPr>
        <w:t xml:space="preserve">für den Einsatz in Antipanikschlössern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beidseitig freidrehend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textStyle"/>
        </w:rPr>
        <w:t xml:space="preserve">Drehknauf auf beiden Seiten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SI.Z4.40-40.MI.AP2.FD.WP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2024-03-28T19:52:33+00:00</dcterms:created>
  <dcterms:modified xsi:type="dcterms:W3CDTF">2024-03-28T19:52:33+00:00</dcterms:modified>
  <dc:title/>
  <dc:description/>
  <dc:subject/>
  <cp:keywords/>
  <cp:category/>
</cp:coreProperties>
</file>