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A10D Thin Client, Linux- basierter Hardware-Client, 1080 bei 25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Preiswerter, Linux-basierter Client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Platzsparende Bauweise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25fps bei 1080p</w:t>
      </w:r>
    </w:p>
    <w:p>
      <w:pPr>
        <w:pStyle w:val="p2Style"/>
      </w:pPr>
      <w:r>
        <w:rPr>
          <w:rStyle w:val="textStyle"/>
        </w:rPr>
        <w:t xml:space="preserve">Alle Auflösungsstandards bis 1920x1080</w:t>
      </w:r>
    </w:p>
    <w:p>
      <w:pPr>
        <w:pStyle w:val="p2Style"/>
      </w:pPr>
      <w:r>
        <w:rPr>
          <w:rStyle w:val="textStyle"/>
        </w:rPr>
        <w:t xml:space="preserve">HDMI Monitorausgang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AIM-A10D-VESA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des A10D Thin Client zwischen Monitor und VESA-Anschluss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2026-08-01T08:37:27+00:00</dcterms:created>
  <dcterms:modified xsi:type="dcterms:W3CDTF">2026-08-01T08:37:27+00:00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