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zur Drahtlos Übertragung an ein Hörgerät, für 2N IP 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für IP Force mit Vorbereitung für RFID-Kartenleser</w:t>
      </w:r>
    </w:p>
    <w:p>
      <w:pPr>
        <w:pStyle w:val="p2Style"/>
      </w:pPr>
      <w:r>
        <w:rPr>
          <w:rStyle w:val="textStyle"/>
        </w:rPr>
        <w:t xml:space="preserve">Einbau in RFID-Leser Schacht</w:t>
      </w:r>
    </w:p>
    <w:p>
      <w:pPr>
        <w:pStyle w:val="p2Style"/>
      </w:pPr>
      <w:r>
        <w:rPr>
          <w:rStyle w:val="textStyle"/>
        </w:rPr>
        <w:t xml:space="preserve">Kein RFID-Kartenleser mehr verwendbar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2026-07-21T10:27:52+00:00</dcterms:created>
  <dcterms:modified xsi:type="dcterms:W3CDTF">2026-07-21T10:27:52+00:00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