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zur Drahtlos Übertragung an ein Hörgerät,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IP Force mit Vorbereitung für RFID-Kartenleser</w:t>
      </w:r>
    </w:p>
    <w:p>
      <w:pPr>
        <w:pStyle w:val="p2Style"/>
      </w:pPr>
      <w:r>
        <w:rPr>
          <w:rStyle w:val="textStyle"/>
        </w:rPr>
        <w:t xml:space="preserve">Einbau in RFID-Leser Schacht</w:t>
      </w:r>
    </w:p>
    <w:p>
      <w:pPr>
        <w:pStyle w:val="p2Style"/>
      </w:pPr>
      <w:r>
        <w:rPr>
          <w:rStyle w:val="textStyle"/>
        </w:rPr>
        <w:t xml:space="preserve">Kein RFID-Kartenleser mehr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