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Q1952-E 19MM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31°, 640x480, 30fps, Audio, Außen,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Kompakte, robuste und halogenfreie Ausführung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30 Bilder/Sek.</w:t>
      </w:r>
    </w:p>
    <w:p>
      <w:pPr>
        <w:pStyle w:val="p2Style"/>
      </w:pPr>
      <w:r>
        <w:rPr>
          <w:rStyle w:val="textStyle"/>
        </w:rPr>
        <w:t xml:space="preserve">Brennweite 19 mm, 31° Horizontales Sichtfeld</w:t>
      </w:r>
    </w:p>
    <w:p>
      <w:pPr>
        <w:pStyle w:val="p2Style"/>
      </w:pPr>
      <w:r>
        <w:rPr>
          <w:rStyle w:val="textStyle"/>
        </w:rPr>
        <w:t xml:space="preserve">Unterstützt KI-basierte Analysefunktionen (ACAP)</w:t>
      </w:r>
    </w:p>
    <w:p>
      <w:pPr>
        <w:pStyle w:val="p2Style"/>
      </w:pPr>
      <w:r>
        <w:rPr>
          <w:rStyle w:val="textStyle"/>
        </w:rPr>
        <w:t xml:space="preserve">H.265 Codec mit Axis Zipstream Technologie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IP66, IP67, IK10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7331021073876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2026-06-05T18:39:41+00:00</dcterms:created>
  <dcterms:modified xsi:type="dcterms:W3CDTF">2026-06-05T18:39:41+00:00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