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SFP-CU-1G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SFP Transceiver, 10/100/1000 BASE-T, RJ45, 40°C bis +85°C Betriebstemperatur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den meisten 1000BASE-X-SFP-Ports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1000 Mbit/s</w:t>
      </w:r>
    </w:p>
    <w:p>
      <w:pPr>
        <w:pStyle w:val="p2Style"/>
      </w:pPr>
      <w:r>
        <w:rPr>
          <w:rStyle w:val="textStyle"/>
        </w:rPr>
        <w:t xml:space="preserve">Das Hot-Plug-fähige Design ermöglicht einen einfachen Austausch oder Upgrades vor Ort</w:t>
      </w:r>
    </w:p>
    <w:p>
      <w:pPr>
        <w:pStyle w:val="p2Style"/>
      </w:pPr>
      <w:r>
        <w:rPr>
          <w:rStyle w:val="textStyle"/>
        </w:rPr>
        <w:t xml:space="preserve">Reichweiten von bis zu 100 m (Cat5E oder höher)</w:t>
      </w:r>
    </w:p>
    <w:p>
      <w:pPr>
        <w:pStyle w:val="p2Style"/>
      </w:pPr>
      <w:r>
        <w:rPr>
          <w:rStyle w:val="textStyle"/>
        </w:rPr>
        <w:t xml:space="preserve">INF-8074-konform</w:t>
      </w:r>
    </w:p>
    <w:p>
      <w:pPr>
        <w:pStyle w:val="p2Style"/>
      </w:pPr>
      <w:r>
        <w:rPr>
          <w:rStyle w:val="textStyle"/>
        </w:rPr>
        <w:t xml:space="preserve">EMI-armes Metallgehäuse mit hervorragendem ESD-Schutz</w:t>
      </w:r>
    </w:p>
    <w:p>
      <w:pPr>
        <w:pStyle w:val="p2Style"/>
      </w:pPr>
      <w:r>
        <w:rPr>
          <w:rStyle w:val="textStyle"/>
        </w:rPr>
        <w:t xml:space="preserve">In Großbritannien programmiert und getestet</w:t>
      </w:r>
    </w:p>
    <w:p>
      <w:pPr>
        <w:pStyle w:val="p2Style"/>
      </w:pPr>
      <w:r>
        <w:rPr>
          <w:rStyle w:val="textStyle"/>
        </w:rPr>
        <w:t xml:space="preserve">Industriestandard „Small Form-Factor Pluggable“ (MSA-konform)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SFP-CU-1G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2026-10-08T08:34:16+00:00</dcterms:created>
  <dcterms:modified xsi:type="dcterms:W3CDTF">2026-10-08T08:34:16+00:00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