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unabhängige RJ45 auf jeweils 1 SFP Slots</w:t>
      </w:r>
    </w:p>
    <w:p>
      <w:pPr>
        <w:pStyle w:val="p2Style"/>
      </w:pPr>
      <w:r>
        <w:rPr>
          <w:rStyle w:val="textStyle"/>
        </w:rPr>
        <w:t xml:space="preserve">2 unabhängige Kanäle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