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unabhängige RJ45 auf jeweils 1 SFP Slots</w:t>
      </w:r>
    </w:p>
    <w:p>
      <w:pPr>
        <w:pStyle w:val="p2Style"/>
      </w:pPr>
      <w:r>
        <w:rPr>
          <w:rStyle w:val="textStyle"/>
        </w:rPr>
        <w:t xml:space="preserve">2 unabhängige Kanäle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2026-09-04T07:49:28+00:00</dcterms:created>
  <dcterms:modified xsi:type="dcterms:W3CDTF">2026-09-04T07:49:28+00:00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