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MEB-62V2713P0A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1920x1080, Objektiv 2,7-13,5mm IR LED,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2.3 Megapixel Progressive Scan CMOS-Sensor</w:t>
      </w:r>
    </w:p>
    <w:p>
      <w:pPr>
        <w:pStyle w:val="p2Style"/>
      </w:pPr>
      <w:r>
        <w:rPr>
          <w:rStyle w:val="textStyle"/>
        </w:rPr>
        <w:t xml:space="preserve">Kompaktes Gehäuse für Außenanwendung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Varifokal 2,8~12mm Tag/Nacht Objektiv</w:t>
      </w:r>
    </w:p>
    <w:p>
      <w:pPr>
        <w:pStyle w:val="p2Style"/>
      </w:pPr>
      <w:r>
        <w:rPr>
          <w:rStyle w:val="textStyle"/>
        </w:rPr>
        <w:t xml:space="preserve">LSC (Objektiv Shading Korrektur)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3D-DNR Rauschunterdrückung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4 Hochleistung-Infrarot-LED's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78,5x78,5x214mm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ATW,AWB,manuell,Außen,Innen,AWC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niederländisch, polnisch,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(BNC),12VDC-Spannungseingang,Anschlusskabel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Installation,Bohrschablone,Easy Bracket,4x Dübel mit Schrauben,Video Sub-Ausgang Kabel,4x M4x15mm,1x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2026-09-20T23:16:35+00:00</dcterms:created>
  <dcterms:modified xsi:type="dcterms:W3CDTF">2026-09-20T23:16:35+00:00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