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NWK2(4GEN)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NetWave Set, Access Point und Client, 802.11a/n, -40°C+75°C, 17°, 48VDC, ETSI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Übertragungsrate bis zu 240Mbps</w:t>
      </w:r>
    </w:p>
    <w:p>
      <w:pPr>
        <w:pStyle w:val="p2Style"/>
      </w:pPr>
      <w:r>
        <w:rPr>
          <w:rStyle w:val="textStyle"/>
        </w:rPr>
        <w:t xml:space="preserve">1x RJ45 mit 100Mbps</w:t>
      </w:r>
    </w:p>
    <w:p>
      <w:pPr>
        <w:pStyle w:val="p2Style"/>
      </w:pPr>
      <w:r>
        <w:rPr>
          <w:rStyle w:val="textStyle"/>
        </w:rPr>
        <w:t xml:space="preserve">1x RJ45 mit 1Gbps</w:t>
      </w:r>
    </w:p>
    <w:p>
      <w:pPr>
        <w:pStyle w:val="p2Style"/>
      </w:pPr>
      <w:r>
        <w:rPr>
          <w:rStyle w:val="textStyle"/>
        </w:rPr>
        <w:t xml:space="preserve">Bei Verwendung mit PoE Injektor nur 100Mbps möglich</w:t>
      </w:r>
    </w:p>
    <w:p>
      <w:pPr>
        <w:pStyle w:val="p2Style"/>
      </w:pPr>
      <w:r>
        <w:rPr>
          <w:rStyle w:val="textStyle"/>
        </w:rPr>
        <w:t xml:space="preserve">Reichweite bis zu 2km</w:t>
      </w:r>
    </w:p>
    <w:p>
      <w:pPr>
        <w:pStyle w:val="p2Style"/>
      </w:pPr>
      <w:r>
        <w:rPr>
          <w:rStyle w:val="textStyle"/>
        </w:rPr>
        <w:t xml:space="preserve">Schutzklasse IP67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ETSI zertifiziert</w:t>
      </w:r>
    </w:p>
    <w:p>
      <w:pPr>
        <w:pStyle w:val="p2Style"/>
      </w:pPr>
      <w:r>
        <w:rPr>
          <w:rStyle w:val="textStyle"/>
        </w:rPr>
        <w:t xml:space="preserve">Stromversorgung über PoE</w:t>
      </w:r>
    </w:p>
    <w:p>
      <w:pPr>
        <w:pStyle w:val="p2Style"/>
      </w:pPr>
      <w:r>
        <w:rPr>
          <w:rStyle w:val="textStyle"/>
        </w:rPr>
        <w:t xml:space="preserve">Für Wandmontage Artikel NWBKT verwenden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AES, TKIP,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NWK2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2026-05-23T12:19:18+00:00</dcterms:created>
  <dcterms:modified xsi:type="dcterms:W3CDTF">2026-05-23T12:19:18+00:00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