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NWK2(4GEN)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1x RJ45 mit 100Mbps</w:t>
      </w:r>
    </w:p>
    <w:p>
      <w:pPr>
        <w:pStyle w:val="p2Style"/>
      </w:pPr>
      <w:r>
        <w:rPr>
          <w:rStyle w:val="textStyle"/>
        </w:rPr>
        <w:t xml:space="preserve">1x RJ45 mit 1Gbps</w:t>
      </w:r>
    </w:p>
    <w:p>
      <w:pPr>
        <w:pStyle w:val="p2Style"/>
      </w:pPr>
      <w:r>
        <w:rPr>
          <w:rStyle w:val="textStyle"/>
        </w:rPr>
        <w:t xml:space="preserve">Bei Verwendung mit PoE Injektor nur 100Mbps möglich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2026-07-07T14:22:10+00:00</dcterms:created>
  <dcterms:modified xsi:type="dcterms:W3CDTF">2026-07-07T14:22:10+00:00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