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TU8001 ETHERNET SURGE PROTECTOR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bis 10kV, für Netzwerkkomponenten, Innen, PoE bis 95W, 1000BASE-T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bis 10 kV</w:t>
      </w:r>
    </w:p>
    <w:p>
      <w:pPr>
        <w:pStyle w:val="p2Style"/>
      </w:pPr>
      <w:r>
        <w:rPr>
          <w:rStyle w:val="textStyle"/>
        </w:rPr>
        <w:t xml:space="preserve">Unterstützt IEEE 802.3bt bis 95 W</w:t>
      </w:r>
    </w:p>
    <w:p>
      <w:pPr>
        <w:pStyle w:val="p2Style"/>
      </w:pPr>
      <w:r>
        <w:rPr>
          <w:rStyle w:val="textStyle"/>
        </w:rPr>
        <w:t xml:space="preserve">Unterstützt Datenraten bis zu 1 Gbit/s</w:t>
      </w:r>
    </w:p>
    <w:p>
      <w:pPr>
        <w:pStyle w:val="p2Style"/>
      </w:pPr>
      <w:r>
        <w:rPr>
          <w:rStyle w:val="textStyle"/>
        </w:rPr>
        <w:t xml:space="preserve">Getestet mit Axis Geräten</w:t>
      </w:r>
    </w:p>
    <w:p>
      <w:pPr>
        <w:pStyle w:val="p2Style"/>
      </w:pPr>
      <w:r>
        <w:rPr>
          <w:rStyle w:val="textStyle"/>
        </w:rPr>
        <w:t xml:space="preserve">Wand- oder DIN-Schienenmontage</w:t>
      </w:r>
    </w:p>
    <w:p>
      <w:pPr>
        <w:pStyle w:val="p2Style"/>
      </w:pPr>
      <w:r>
        <w:rPr>
          <w:rStyle w:val="textStyle"/>
        </w:rPr>
        <w:t xml:space="preserve">Nur 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2026-07-27T13:12:47+00:00</dcterms:created>
  <dcterms:modified xsi:type="dcterms:W3CDTF">2026-07-27T13:12:47+00:00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