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POE29U-1AT6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Gigabit, 30W, C14,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Erkennung, Trennung nach Standard IEEE802.3at</w:t>
      </w:r>
    </w:p>
    <w:p>
      <w:pPr>
        <w:pStyle w:val="p2Style"/>
      </w:pPr>
      <w:r>
        <w:rPr>
          <w:rStyle w:val="textStyle"/>
        </w:rPr>
        <w:t xml:space="preserve">Überlast, Spannungssteuerung nach IEEE802.3at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Diagnose-LEDs</w:t>
      </w:r>
    </w:p>
    <w:p>
      <w:pPr>
        <w:pStyle w:val="p2Style"/>
      </w:pPr>
      <w:r>
        <w:rPr>
          <w:rStyle w:val="textStyle"/>
        </w:rPr>
        <w:t xml:space="preserve">Kompakte Abmessungen: 140x65x36mm</w:t>
      </w:r>
    </w:p>
    <w:p>
      <w:pPr>
        <w:pStyle w:val="p2Style"/>
      </w:pPr>
      <w:r>
        <w:rPr>
          <w:rStyle w:val="textStyle"/>
        </w:rPr>
        <w:t xml:space="preserve">Netzkabel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Cisco Legacy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2026-11-03T09:45:20+00:00</dcterms:created>
  <dcterms:modified xsi:type="dcterms:W3CDTF">2026-11-03T09:45:20+00:00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