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A4020-E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Leseeinheit, Mifare, 13.56 MHz, schwarz, RS485, OSDP, SCP,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auf Axis Türcontroller zugeschnitten</w:t>
      </w:r>
    </w:p>
    <w:p>
      <w:pPr>
        <w:pStyle w:val="p2Style"/>
      </w:pPr>
      <w:r>
        <w:rPr>
          <w:rStyle w:val="textStyle"/>
        </w:rPr>
        <w:t xml:space="preserve">Unterstützt die meisten RFID-Karten (13,56 MHz)</w:t>
      </w:r>
    </w:p>
    <w:p>
      <w:pPr>
        <w:pStyle w:val="p2Style"/>
      </w:pPr>
      <w:r>
        <w:rPr>
          <w:rStyle w:val="textStyle"/>
        </w:rPr>
        <w:t xml:space="preserve">Open Supervised Device Protocol (OSDP)</w:t>
      </w:r>
    </w:p>
    <w:p>
      <w:pPr>
        <w:pStyle w:val="p2Style"/>
      </w:pPr>
      <w:r>
        <w:rPr>
          <w:rStyle w:val="textStyle"/>
        </w:rPr>
        <w:t xml:space="preserve">EAL6+ Certified Secure Element</w:t>
      </w:r>
    </w:p>
    <w:p>
      <w:pPr>
        <w:pStyle w:val="p2Style"/>
      </w:pPr>
      <w:r>
        <w:rPr>
          <w:rStyle w:val="textStyle"/>
        </w:rPr>
        <w:t xml:space="preserve">Pfosten-Montage-Konzept (Mullian Style)</w:t>
      </w:r>
    </w:p>
    <w:p>
      <w:pPr>
        <w:pStyle w:val="p2Style"/>
      </w:pPr>
      <w:r>
        <w:rPr>
          <w:rStyle w:val="textStyle"/>
        </w:rPr>
        <w:t xml:space="preserve">Für den Einsatz in rauen Umgebungen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textStyle"/>
        </w:rPr>
        <w:t xml:space="preserve">Schlagfest nach IK07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