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TW1201 BW MINI CUBE SENSOR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diskret, 1920x1080, 2,1mm,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unauffällig und leicht</w:t>
      </w:r>
    </w:p>
    <w:p>
      <w:pPr>
        <w:pStyle w:val="p2Style"/>
      </w:pPr>
      <w:r>
        <w:rPr>
          <w:rStyle w:val="textStyle"/>
        </w:rPr>
        <w:t xml:space="preserve">Gleiche optische Leistung wie AXIS W100</w:t>
      </w:r>
    </w:p>
    <w:p>
      <w:pPr>
        <w:pStyle w:val="p2Style"/>
      </w:pPr>
      <w:r>
        <w:rPr>
          <w:rStyle w:val="textStyle"/>
        </w:rPr>
        <w:t xml:space="preserve">Flexible Magnethalterung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textStyle"/>
        </w:rPr>
        <w:t xml:space="preserve">Inkl. AXIS TW1905 Magnethalter</w:t>
      </w:r>
    </w:p>
    <w:p>
      <w:pPr>
        <w:pStyle w:val="p2Style"/>
      </w:pPr>
      <w:r>
        <w:rPr>
          <w:rStyle w:val="textStyle"/>
        </w:rPr>
        <w:t xml:space="preserve">Schutzklasse IP54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