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Style flush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Einbaudose, für Unterputz Montage einer 2N IP Style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Wandeinbaumontage einer 2N IP Style erforderlich</w:t>
      </w:r>
    </w:p>
    <w:p>
      <w:pPr>
        <w:pStyle w:val="p2Style"/>
      </w:pPr>
      <w:r>
        <w:rPr>
          <w:rStyle w:val="textStyle"/>
        </w:rPr>
        <w:t xml:space="preserve">Spezielle Funktion zur Ausrichtung der Sprechanlage</w:t>
      </w:r>
    </w:p>
    <w:p>
      <w:pPr>
        <w:pStyle w:val="p2Style"/>
      </w:pPr>
      <w:r>
        <w:rPr>
          <w:rStyle w:val="textStyle"/>
        </w:rPr>
        <w:t xml:space="preserve">Kippmechanismus für Kabelmanagement</w:t>
      </w:r>
    </w:p>
    <w:p>
      <w:pPr>
        <w:pStyle w:val="p2Style"/>
      </w:pPr>
      <w:r>
        <w:rPr>
          <w:rStyle w:val="textStyle"/>
        </w:rPr>
        <w:t xml:space="preserve">Maße: 170 (B) x 355 (H) x 46 (T)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8595159517490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2026-06-23T18:12:35+00:00</dcterms:created>
  <dcterms:modified xsi:type="dcterms:W3CDTF">2026-06-23T18:12:35+00:00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