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Einbau, Innen- und Außenanwendung, für 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textStyle"/>
        </w:rPr>
        <w:t xml:space="preserve">Für den diskreten Einbau in Wänden</w:t>
      </w:r>
    </w:p>
    <w:p>
      <w:pPr>
        <w:pStyle w:val="p2Style"/>
      </w:pPr>
      <w:r>
        <w:rPr>
          <w:rStyle w:val="textStyle"/>
        </w:rPr>
        <w:t xml:space="preserve">Innen- und Außeninstallation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Mehrere Montage- und Verkabelungsoptionen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2026-05-09T16:23:17+00:00</dcterms:created>
  <dcterms:modified xsi:type="dcterms:W3CDTF">2026-05-09T16:23:17+00:00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