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NDP-5523-Z20C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Einbau, PoE+,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Inneneinsatz</w:t>
      </w:r>
    </w:p>
    <w:p>
      <w:pPr>
        <w:pStyle w:val="p2Style"/>
      </w:pPr>
      <w:r>
        <w:rPr>
          <w:rStyle w:val="textStyle"/>
        </w:rPr>
        <w:t xml:space="preserve">Auflösung: 2560x1440 Pixel, 60 fps</w:t>
      </w:r>
    </w:p>
    <w:p>
      <w:pPr>
        <w:pStyle w:val="p2Style"/>
      </w:pPr>
      <w:r>
        <w:rPr>
          <w:rStyle w:val="textStyle"/>
        </w:rPr>
        <w:t xml:space="preserve">20x Zoomobjektiv mit 6,5-130mm Brennweite</w:t>
      </w:r>
    </w:p>
    <w:p>
      <w:pPr>
        <w:pStyle w:val="p2Style"/>
      </w:pPr>
      <w:r>
        <w:rPr>
          <w:rStyle w:val="textStyle"/>
        </w:rPr>
        <w:t xml:space="preserve">Deckeneinbaumontage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6,5 - 130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