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surface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Aufputzhalter für Wandmontage, für 2N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Nachrüstprojekte</w:t>
      </w:r>
    </w:p>
    <w:p>
      <w:pPr>
        <w:pStyle w:val="p2Style"/>
      </w:pPr>
      <w:r>
        <w:rPr>
          <w:rStyle w:val="textStyle"/>
        </w:rPr>
        <w:t xml:space="preserve">Universal einsetzbar</w:t>
      </w:r>
    </w:p>
    <w:p>
      <w:pPr>
        <w:pStyle w:val="p2Style"/>
      </w:pPr>
      <w:r>
        <w:rPr>
          <w:rStyle w:val="textStyle"/>
        </w:rPr>
        <w:t xml:space="preserve">Für 2N Indoor Compact und Indoor View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2026-09-15T08:28:45+00:00</dcterms:created>
  <dcterms:modified xsi:type="dcterms:W3CDTF">2026-09-15T08:28:45+00:00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