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 Ports, unmanaged, PoE, 60W,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PoE+ Ports</w:t>
      </w:r>
    </w:p>
    <w:p>
      <w:pPr>
        <w:pStyle w:val="p2Style"/>
      </w:pPr>
      <w:r>
        <w:rPr>
          <w:rStyle w:val="textStyle"/>
        </w:rPr>
        <w:t xml:space="preserve">Desktop, Wand oder Rackmontage möglich</w:t>
      </w:r>
    </w:p>
    <w:p>
      <w:pPr>
        <w:pStyle w:val="p2Style"/>
      </w:pPr>
      <w:r>
        <w:rPr>
          <w:rStyle w:val="textStyle"/>
        </w:rPr>
        <w:t xml:space="preserve">PoE Budget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0606449134971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EPS200W-100PES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200W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EPS90W-100PES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90W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