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GS724TPP-100EUS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Gb Hochleistungs PoE+ Smart Managed Pro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textStyle"/>
        </w:rPr>
        <w:t xml:space="preserve">Auto Voice und Auto Video VLAN</w:t>
      </w:r>
    </w:p>
    <w:p>
      <w:pPr>
        <w:pStyle w:val="p2Style"/>
      </w:pPr>
      <w:r>
        <w:rPr>
          <w:rStyle w:val="textStyle"/>
        </w:rPr>
        <w:t xml:space="preserve">Statisches Routing, dynamisches VLAN assignment</w:t>
      </w:r>
    </w:p>
    <w:p>
      <w:pPr>
        <w:pStyle w:val="p2Style"/>
      </w:pPr>
      <w:r>
        <w:rPr>
          <w:rStyle w:val="textStyle"/>
        </w:rPr>
        <w:t xml:space="preserve">IPv6 , QoS, ACL, IGMP, MLD Snooping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0606449145922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2026-10-19T06:57:05+00:00</dcterms:created>
  <dcterms:modified xsi:type="dcterms:W3CDTF">2026-10-19T06:57:05+00:00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