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textStyle"/>
        </w:rPr>
        <w:t xml:space="preserve">120W PoE Budget</w:t>
      </w:r>
    </w:p>
    <w:p>
      <w:pPr>
        <w:pStyle w:val="p2Style"/>
      </w:pPr>
      <w:r>
        <w:rPr>
          <w:rStyle w:val="textStyle"/>
        </w:rPr>
        <w:t xml:space="preserve">Desktop, Rack-oder Wandmontage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Flexible PoE Budgets mit austauschbaren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67,5 W, 90 W, 130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