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PoE+ unmanaged Switch, 115W,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Unmanaged 16-Port-Gigabit-Ethernet-PoE + Switch</w:t>
      </w:r>
    </w:p>
    <w:p>
      <w:pPr>
        <w:pStyle w:val="p2Style"/>
      </w:pPr>
      <w:r>
        <w:rPr>
          <w:rStyle w:val="textStyle"/>
        </w:rPr>
        <w:t xml:space="preserve">115 W PoE +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Erweiterbares PoE-Budget auf 183 W mit NETGEAR FlexPoE</w:t>
      </w:r>
    </w:p>
    <w:p>
      <w:pPr>
        <w:pStyle w:val="p2Style"/>
      </w:pPr>
      <w:r>
        <w:rPr>
          <w:rStyle w:val="textStyle"/>
        </w:rPr>
        <w:t xml:space="preserve">Mit Wandbefestigungskit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