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PoE+ unmanaged Switch, 183W,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Unmanaged 16-Port-Gigabit-Ethernet-Hochleistungs-PoE + Switch</w:t>
      </w:r>
    </w:p>
    <w:p>
      <w:pPr>
        <w:pStyle w:val="p2Style"/>
      </w:pPr>
      <w:r>
        <w:rPr>
          <w:rStyle w:val="textStyle"/>
        </w:rPr>
        <w:t xml:space="preserve">183W PoE + Budget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textStyle"/>
        </w:rPr>
        <w:t xml:space="preserve">NETGEAR FlexPoE</w:t>
      </w:r>
    </w:p>
    <w:p>
      <w:pPr>
        <w:pStyle w:val="p2Style"/>
      </w:pPr>
      <w:r>
        <w:rPr>
          <w:rStyle w:val="textStyle"/>
        </w:rPr>
        <w:t xml:space="preserve">PoE-Auto-Balance</w:t>
      </w:r>
    </w:p>
    <w:p>
      <w:pPr>
        <w:pStyle w:val="p2Style"/>
      </w:pPr>
      <w:r>
        <w:rPr>
          <w:rStyle w:val="textStyle"/>
        </w:rPr>
        <w:t xml:space="preserve">Mit Wandbefestigungskit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2026-08-14T11:03:47+00:00</dcterms:created>
  <dcterms:modified xsi:type="dcterms:W3CDTF">2026-08-14T11:03:47+00:00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