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GB PoE+ unmanaged Switch, 183W,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Unmanaged 16-Port-Gigabit-Ethernet-Hochleistungs-PoE + Switch</w:t>
      </w:r>
    </w:p>
    <w:p>
      <w:pPr>
        <w:pStyle w:val="p2Style"/>
      </w:pPr>
      <w:r>
        <w:rPr>
          <w:rStyle w:val="textStyle"/>
        </w:rPr>
        <w:t xml:space="preserve">183W PoE + Budget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textStyle"/>
        </w:rPr>
        <w:t xml:space="preserve">NETGEAR FlexPoE</w:t>
      </w:r>
    </w:p>
    <w:p>
      <w:pPr>
        <w:pStyle w:val="p2Style"/>
      </w:pPr>
      <w:r>
        <w:rPr>
          <w:rStyle w:val="textStyle"/>
        </w:rPr>
        <w:t xml:space="preserve">PoE-Auto-Balance</w:t>
      </w:r>
    </w:p>
    <w:p>
      <w:pPr>
        <w:pStyle w:val="p2Style"/>
      </w:pPr>
      <w:r>
        <w:rPr>
          <w:rStyle w:val="textStyle"/>
        </w:rPr>
        <w:t xml:space="preserve">Mit Wandbefestigungskit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2026-06-30T08:50:06+00:00</dcterms:created>
  <dcterms:modified xsi:type="dcterms:W3CDTF">2026-06-30T08:50:06+00:00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