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GS324PP-100EUS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Ethernet Unmanaged PoE+ Switch, 380W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Ethernet Unmanaged Hochleistungs PoE+ Switch</w:t>
      </w:r>
    </w:p>
    <w:p>
      <w:pPr>
        <w:pStyle w:val="p2Style"/>
      </w:pPr>
      <w:r>
        <w:rPr>
          <w:rStyle w:val="textStyle"/>
        </w:rPr>
        <w:t xml:space="preserve">380 W PoE-Budget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textStyle"/>
        </w:rPr>
        <w:t xml:space="preserve">Rackmount</w:t>
      </w:r>
    </w:p>
    <w:p>
      <w:pPr>
        <w:pStyle w:val="p2Style"/>
      </w:pPr>
      <w:r>
        <w:rPr>
          <w:rStyle w:val="textStyle"/>
        </w:rPr>
        <w:t xml:space="preserve">PoE Power Auto-Balance und Verteilung zwischen den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0606449144826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GS324PP-100EUS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2026-07-21T07:55:01+00:00</dcterms:created>
  <dcterms:modified xsi:type="dcterms:W3CDTF">2026-07-21T07:55:01+00:00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