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GS324PP-100EUS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380W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Unmanaged Hochleistungs PoE+ Switch</w:t>
      </w:r>
    </w:p>
    <w:p>
      <w:pPr>
        <w:pStyle w:val="p2Style"/>
      </w:pPr>
      <w:r>
        <w:rPr>
          <w:rStyle w:val="textStyle"/>
        </w:rPr>
        <w:t xml:space="preserve">380 W PoE-Budget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textStyle"/>
        </w:rPr>
        <w:t xml:space="preserve">PoE Power Auto-Balance und Verteilung zwischen den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GS324PP-100EUS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2026-10-19T11:12:14+00:00</dcterms:created>
  <dcterms:modified xsi:type="dcterms:W3CDTF">2026-10-19T11:12:14+00:00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