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UC3200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Unified Controller, 12-Bay, 8GB DDR4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 Aktiv/Aktiv-Speicherlösung</w:t>
      </w:r>
    </w:p>
    <w:p>
      <w:pPr>
        <w:pStyle w:val="p2Style"/>
      </w:pPr>
      <w:r>
        <w:rPr>
          <w:rStyle w:val="textStyle"/>
        </w:rPr>
        <w:t xml:space="preserve">Zur Bereitstellung unterbrechungsfreier iSCSI-Dienste</w:t>
      </w:r>
    </w:p>
    <w:p>
      <w:pPr>
        <w:pStyle w:val="p2Style"/>
      </w:pPr>
      <w:r>
        <w:rPr>
          <w:rStyle w:val="textStyle"/>
        </w:rPr>
        <w:t xml:space="preserve">8 GB DDR4 ECC UDIMM (erweiterbar bis zu 64 GB)</w:t>
      </w:r>
    </w:p>
    <w:p>
      <w:pPr>
        <w:pStyle w:val="p2Style"/>
      </w:pPr>
      <w:r>
        <w:rPr>
          <w:rStyle w:val="textStyle"/>
        </w:rPr>
        <w:t xml:space="preserve">Über 140.000 4K Random Write IOPS</w:t>
      </w:r>
    </w:p>
    <w:p>
      <w:pPr>
        <w:pStyle w:val="p2Style"/>
      </w:pPr>
      <w:r>
        <w:rPr>
          <w:rStyle w:val="textStyle"/>
        </w:rPr>
        <w:t xml:space="preserve">Leistung der Enterprise-Klasse mit geringer Latenz Cache-Schutzmechanismus zur Vermeidung von Datenverlusten</w:t>
      </w:r>
    </w:p>
    <w:p>
      <w:pPr>
        <w:pStyle w:val="p2Style"/>
      </w:pPr>
      <w:r>
        <w:rPr>
          <w:rStyle w:val="textStyle"/>
        </w:rPr>
        <w:t xml:space="preserve">5-jährige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UC3200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Unified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RXD1219sas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Storage Cluster Erweiterungs Einheit, 12-Bay, ohne HDD, für SA3200D, 19", 2HE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