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1YEAR BWC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1-Jahr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Speicherung aller Beweise</w:t>
      </w:r>
    </w:p>
    <w:p>
      <w:pPr>
        <w:pStyle w:val="p2Style"/>
      </w:pPr>
      <w:r>
        <w:rPr>
          <w:rStyle w:val="textStyle"/>
        </w:rPr>
        <w:t xml:space="preserve">Von Axis gehostet und verwaltet</w:t>
      </w:r>
    </w:p>
    <w:p>
      <w:pPr>
        <w:pStyle w:val="p2Style"/>
      </w:pPr>
      <w:r>
        <w:rPr>
          <w:rStyle w:val="textStyle"/>
        </w:rPr>
        <w:t xml:space="preserve">CAD- und RMS-Integration</w:t>
      </w:r>
    </w:p>
    <w:p>
      <w:pPr>
        <w:pStyle w:val="p2Style"/>
      </w:pPr>
      <w:r>
        <w:rPr>
          <w:rStyle w:val="textStyle"/>
        </w:rPr>
        <w:t xml:space="preserve">Audit-Trail-Funktionen</w:t>
      </w:r>
    </w:p>
    <w:p>
      <w:pPr>
        <w:pStyle w:val="p2Style"/>
      </w:pPr>
      <w:r>
        <w:rPr>
          <w:rStyle w:val="textStyle"/>
        </w:rPr>
        <w:t xml:space="preserve">Automatische Schwärzung von Gesichtern</w:t>
      </w:r>
    </w:p>
    <w:p>
      <w:pPr>
        <w:pStyle w:val="p2Style"/>
      </w:pPr>
      <w:r>
        <w:rPr>
          <w:rStyle w:val="textStyle"/>
        </w:rPr>
        <w:t xml:space="preserve">End-to-End-Lösung als Webanwendung</w:t>
      </w:r>
    </w:p>
    <w:p>
      <w:pPr>
        <w:pStyle w:val="p2Style"/>
      </w:pPr>
      <w:r>
        <w:rPr>
          <w:rStyle w:val="textStyle"/>
        </w:rPr>
        <w:t xml:space="preserve">Identitätsverwaltung und Autorisierung</w:t>
      </w:r>
    </w:p>
    <w:p>
      <w:pPr>
        <w:pStyle w:val="p2Style"/>
      </w:pPr>
      <w:r>
        <w:rPr>
          <w:rStyle w:val="textStyle"/>
        </w:rPr>
        <w:t xml:space="preserve">Datei- und Datenverschlüsselung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 STORAGE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Cloud Speicher Erweiterung, 1TB, 1 Jahr, für AXIS CASE INSIGHT,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2026-08-10T02:14:33+00:00</dcterms:created>
  <dcterms:modified xsi:type="dcterms:W3CDTF">2026-08-10T02:14:33+00:00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