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Ausarbeitung von Anfragen</w:t>
      </w:r>
    </w:p>
    <w:p>
      <w:pPr>
        <w:pStyle w:val="p2Style"/>
      </w:pPr>
      <w:r>
        <w:rPr>
          <w:rStyle w:val="textStyle"/>
        </w:rPr>
        <w:t xml:space="preserve">Hilfe bei der Produktauswahl</w:t>
      </w:r>
    </w:p>
    <w:p>
      <w:pPr>
        <w:pStyle w:val="p2Style"/>
      </w:pPr>
      <w:r>
        <w:rPr>
          <w:rStyle w:val="textStyle"/>
        </w:rPr>
        <w:t xml:space="preserve">Unterstützung bei der Projektierung</w:t>
      </w:r>
    </w:p>
    <w:p>
      <w:pPr>
        <w:pStyle w:val="p2Style"/>
      </w:pPr>
      <w:r>
        <w:rPr>
          <w:rStyle w:val="textStyle"/>
        </w:rPr>
        <w:t xml:space="preserve">Planungsunterstützung</w:t>
      </w:r>
    </w:p>
    <w:p>
      <w:pPr>
        <w:pStyle w:val="p2Style"/>
      </w:pPr>
      <w:r>
        <w:rPr>
          <w:rStyle w:val="textStyle"/>
        </w:rPr>
        <w:t xml:space="preserve">Beratung bei Technologiewechseln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