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IEEE802.3at, Type 2, Class 4, 1 Port, Innen,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Standards IEEE 802.3af und IEEE 802.3at</w:t>
      </w:r>
    </w:p>
    <w:p>
      <w:pPr>
        <w:pStyle w:val="p2Style"/>
      </w:pPr>
      <w:r>
        <w:rPr>
          <w:rStyle w:val="textStyle"/>
        </w:rPr>
        <w:t xml:space="preserve">Bis 30W Leistung über PoE</w:t>
      </w:r>
    </w:p>
    <w:p>
      <w:pPr>
        <w:pStyle w:val="p2Style"/>
      </w:pPr>
      <w:r>
        <w:rPr>
          <w:rStyle w:val="textStyle"/>
        </w:rPr>
        <w:t xml:space="preserve">Bandbreite 10/100/1000 MBit/s</w:t>
      </w:r>
    </w:p>
    <w:p>
      <w:pPr>
        <w:pStyle w:val="p2Style"/>
      </w:pPr>
      <w:r>
        <w:rPr>
          <w:rStyle w:val="textStyle"/>
        </w:rPr>
        <w:t xml:space="preserve">100 V bis 240 V Eingangsspannung</w:t>
      </w:r>
    </w:p>
    <w:p>
      <w:pPr>
        <w:pStyle w:val="p2Style"/>
      </w:pPr>
      <w:r>
        <w:rPr>
          <w:rStyle w:val="textStyle"/>
        </w:rPr>
        <w:t xml:space="preserve">kostengünstige Lösung zur Stromversorgung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2026-07-21T08:11:52+00:00</dcterms:created>
  <dcterms:modified xsi:type="dcterms:W3CDTF">2026-07-21T08:11:52+00:00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