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CON-NVR-KON-16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16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 mit Anforderungsanalyse</w:t>
      </w:r>
    </w:p>
    <w:p>
      <w:pPr>
        <w:pStyle w:val="p2Style"/>
      </w:pPr>
      <w:r>
        <w:rPr>
          <w:rStyle w:val="textStyle"/>
        </w:rPr>
        <w:t xml:space="preserve">Einbindung von bis zu 16 Kameras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Aktivierung von Lizenzen (herstellerabhängig)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Telefonische Unterstützung bei der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2026-06-17T01:34:38+00:00</dcterms:created>
  <dcterms:modified xsi:type="dcterms:W3CDTF">2026-06-17T01:34:38+00:00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