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XS512EM-100EUS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12x10Gb Ports, 2 x SFP+, 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3 MB Paketbuffer</w:t>
      </w:r>
    </w:p>
    <w:p>
      <w:pPr>
        <w:pStyle w:val="p2Style"/>
      </w:pPr>
      <w:r>
        <w:rPr>
          <w:rStyle w:val="textStyle"/>
        </w:rPr>
        <w:t xml:space="preserve">19" Rackmontage</w:t>
      </w:r>
    </w:p>
    <w:p>
      <w:pPr>
        <w:pStyle w:val="p2Style"/>
      </w:pPr>
      <w:r>
        <w:rPr>
          <w:rStyle w:val="textStyle"/>
        </w:rPr>
        <w:t xml:space="preserve">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XS512EM-100EUS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