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 16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Desktop, Rack und wandmontierbar</w:t>
      </w:r>
    </w:p>
    <w:p>
      <w:pPr>
        <w:pStyle w:val="p2Style"/>
      </w:pPr>
      <w:r>
        <w:rPr>
          <w:rStyle w:val="textStyle"/>
        </w:rPr>
        <w:t xml:space="preserve">Bandbreite: 32 Gbit/s</w:t>
      </w:r>
    </w:p>
    <w:p>
      <w:pPr>
        <w:pStyle w:val="p2Style"/>
      </w:pPr>
      <w:r>
        <w:rPr>
          <w:rStyle w:val="textStyle"/>
        </w:rPr>
        <w:t xml:space="preserve">Betriebstemperatur 0 bis 50 C</w:t>
      </w:r>
    </w:p>
    <w:p>
      <w:pPr>
        <w:pStyle w:val="p2Style"/>
      </w:pPr>
      <w:r>
        <w:rPr>
          <w:rStyle w:val="textStyle"/>
        </w:rPr>
        <w:t xml:space="preserve">16 Ports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