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TP3603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mit Kabelrohr Anschluss (1/2", 3/4"), Innen, für Axis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flexible Inneninstallationen</w:t>
      </w:r>
    </w:p>
    <w:p>
      <w:pPr>
        <w:pStyle w:val="p2Style"/>
      </w:pPr>
      <w:r>
        <w:rPr>
          <w:rStyle w:val="textStyle"/>
        </w:rPr>
        <w:t xml:space="preserve">Platz für Konnektivitätsgeräte</w:t>
      </w:r>
    </w:p>
    <w:p>
      <w:pPr>
        <w:pStyle w:val="p2Style"/>
      </w:pPr>
      <w:r>
        <w:rPr>
          <w:rStyle w:val="textStyle"/>
        </w:rPr>
        <w:t xml:space="preserve">Flexible Leitungseinführung</w:t>
      </w:r>
    </w:p>
    <w:p>
      <w:pPr>
        <w:pStyle w:val="p2Style"/>
      </w:pPr>
      <w:r>
        <w:rPr>
          <w:rStyle w:val="textStyle"/>
        </w:rPr>
        <w:t xml:space="preserve">Kompatibel mit 1/2" (M20) Leerrohren</w:t>
      </w:r>
    </w:p>
    <w:p>
      <w:pPr>
        <w:pStyle w:val="p2Style"/>
      </w:pPr>
      <w:r>
        <w:rPr>
          <w:rStyle w:val="textStyle"/>
        </w:rPr>
        <w:t xml:space="preserve">Kompatibel mit 3/4" (M20) Leerrohren</w:t>
      </w:r>
    </w:p>
    <w:p>
      <w:pPr>
        <w:pStyle w:val="p2Style"/>
      </w:pPr>
      <w:r>
        <w:rPr>
          <w:rStyle w:val="textStyle"/>
        </w:rPr>
        <w:t xml:space="preserve">Für ausgewählte Axis-Kameras/-Domes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2026-10-27T23:32:36+00:00</dcterms:created>
  <dcterms:modified xsi:type="dcterms:W3CDTF">2026-10-27T23:32:36+00:00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