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SPB-VAW12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weißer Rahmen,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QNV-6012R/6022R</w:t>
      </w:r>
    </w:p>
    <w:p>
      <w:pPr>
        <w:pStyle w:val="p2Style"/>
      </w:pPr>
      <w:r>
        <w:rPr>
          <w:rStyle w:val="textStyle"/>
        </w:rPr>
        <w:t xml:space="preserve">QNV6032R, QNV8010R/8020R/8030R</w:t>
      </w:r>
    </w:p>
    <w:p>
      <w:pPr>
        <w:pStyle w:val="p2Style"/>
      </w:pPr>
      <w:r>
        <w:rPr>
          <w:rStyle w:val="textStyle"/>
        </w:rPr>
        <w:t xml:space="preserve">Getönte Kuppel aus Polycarbonat</w:t>
      </w:r>
    </w:p>
    <w:p>
      <w:pPr>
        <w:pStyle w:val="p2Style"/>
      </w:pPr>
      <w:r>
        <w:rPr>
          <w:rStyle w:val="textStyle"/>
        </w:rPr>
        <w:t xml:space="preserve">Rahmen aus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Schutzklasse: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SPB-VAW12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2026-10-19T17:36:45+00:00</dcterms:created>
  <dcterms:modified xsi:type="dcterms:W3CDTF">2026-10-19T17:36:45+00:00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