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weißer Rahmen,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QNV-6012R/6022R</w:t>
      </w:r>
    </w:p>
    <w:p>
      <w:pPr>
        <w:pStyle w:val="p2Style"/>
      </w:pPr>
      <w:r>
        <w:rPr>
          <w:rStyle w:val="textStyle"/>
        </w:rPr>
        <w:t xml:space="preserve">QNV6032R, QNV8010R/8020R/8030R</w:t>
      </w:r>
    </w:p>
    <w:p>
      <w:pPr>
        <w:pStyle w:val="p2Style"/>
      </w:pPr>
      <w:r>
        <w:rPr>
          <w:rStyle w:val="textStyle"/>
        </w:rPr>
        <w:t xml:space="preserve">Getönte Kuppel aus Polycarbonat</w:t>
      </w:r>
    </w:p>
    <w:p>
      <w:pPr>
        <w:pStyle w:val="p2Style"/>
      </w:pPr>
      <w:r>
        <w:rPr>
          <w:rStyle w:val="textStyle"/>
        </w:rPr>
        <w:t xml:space="preserve">Rahmen aus Aluminium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Schutzklasse: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SPB-VAW12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2026-06-05T19:34:14+00:00</dcterms:created>
  <dcterms:modified xsi:type="dcterms:W3CDTF">2026-06-05T19:34:14+00:00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