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IP66,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1920x1080@25fps (H.264)</w:t>
      </w:r>
    </w:p>
    <w:p>
      <w:pPr>
        <w:pStyle w:val="p2Style"/>
      </w:pPr>
      <w:r>
        <w:rPr>
          <w:rStyle w:val="textStyle"/>
        </w:rPr>
        <w:t xml:space="preserve">3,2-10mm Varifokal Objektiv mit DC-Iris</w:t>
      </w:r>
    </w:p>
    <w:p>
      <w:pPr>
        <w:pStyle w:val="p2Style"/>
      </w:pPr>
      <w:r>
        <w:rPr>
          <w:rStyle w:val="textStyle"/>
        </w:rPr>
        <w:t xml:space="preserve">H.264 Codec mit WiseStream II, MJPEG</w:t>
      </w:r>
    </w:p>
    <w:p>
      <w:pPr>
        <w:pStyle w:val="p2Style"/>
      </w:pPr>
      <w:r>
        <w:rPr>
          <w:rStyle w:val="textStyle"/>
        </w:rPr>
        <w:t xml:space="preserve">Wide Dynamic Range (120dB), SSNR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View, Tampering Alarm, Motion detection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micro SDHC Slot (max. 32GB)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LNO-6072R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