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POEA30U-1ATE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Gigabit, 30W, geschirmt,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Sehr kompakte Abmessungen: 126x45,5x30mm</w:t>
      </w:r>
    </w:p>
    <w:p>
      <w:pPr>
        <w:pStyle w:val="p2Style"/>
      </w:pPr>
      <w:r>
        <w:rPr>
          <w:rStyle w:val="textStyle"/>
        </w:rPr>
        <w:t xml:space="preserve">Geschirmte RJ45 Eingänge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DOE VI Efficiency (Öko Richtlinie)</w:t>
      </w:r>
    </w:p>
    <w:p>
      <w:pPr>
        <w:pStyle w:val="p2Style"/>
      </w:pPr>
      <w:r>
        <w:rPr>
          <w:rStyle w:val="textStyle"/>
        </w:rPr>
        <w:t xml:space="preserve">Neueste Sicherheitszulassung EN62368-1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2026-06-29T11:50:09+00:00</dcterms:created>
  <dcterms:modified xsi:type="dcterms:W3CDTF">2026-06-29T11:50:09+00:00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