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iDS-2CD75C5G0-IZHSY(2.8-12mm)(O-STD)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4000x3000, 2,8-12mm,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Dome Bauform für den Außeneinsatz (IP67)</w:t>
      </w:r>
    </w:p>
    <w:p>
      <w:pPr>
        <w:pStyle w:val="p2Style"/>
      </w:pPr>
      <w:r>
        <w:rPr>
          <w:rStyle w:val="textStyle"/>
        </w:rPr>
        <w:t xml:space="preserve">Korrosionshemmende Beschichtung</w:t>
      </w:r>
    </w:p>
    <w:p>
      <w:pPr>
        <w:pStyle w:val="p2Style"/>
      </w:pPr>
      <w:r>
        <w:rPr>
          <w:rStyle w:val="textStyle"/>
        </w:rPr>
        <w:t xml:space="preserve">Motorisiertes Varifokal-Objektiv (2,8-12mm)</w:t>
      </w:r>
    </w:p>
    <w:p>
      <w:pPr>
        <w:pStyle w:val="p2Style"/>
      </w:pPr>
      <w:r>
        <w:rPr>
          <w:rStyle w:val="textStyle"/>
        </w:rPr>
        <w:t xml:space="preserve">Bildauflösung bis 12 Megapixel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96 - 46,2°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311312737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2026-07-21T07:16:24+00:00</dcterms:created>
  <dcterms:modified xsi:type="dcterms:W3CDTF">2026-07-21T07:16:24+00:00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